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EA" w:rsidRDefault="006C078C" w:rsidP="00B61FBC">
      <w:pPr>
        <w:jc w:val="both"/>
      </w:pPr>
      <w:r w:rsidRPr="006C078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8629650</wp:posOffset>
            </wp:positionH>
            <wp:positionV relativeFrom="paragraph">
              <wp:posOffset>-619125</wp:posOffset>
            </wp:positionV>
            <wp:extent cx="838200" cy="1085850"/>
            <wp:effectExtent l="19050" t="0" r="0" b="0"/>
            <wp:wrapNone/>
            <wp:docPr id="6" name="Picture 0" descr="CAA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 Logo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78C" w:rsidRDefault="006C078C" w:rsidP="00B61FBC">
      <w:pPr>
        <w:jc w:val="both"/>
      </w:pPr>
    </w:p>
    <w:p w:rsidR="006C078C" w:rsidRPr="00651C46" w:rsidRDefault="006C078C" w:rsidP="006C078C">
      <w:pPr>
        <w:rPr>
          <w:rFonts w:ascii="Arial" w:hAnsi="Arial" w:cs="Arial"/>
          <w:b/>
          <w:color w:val="000066"/>
          <w:sz w:val="56"/>
          <w:szCs w:val="56"/>
        </w:rPr>
      </w:pPr>
    </w:p>
    <w:p w:rsidR="006C078C" w:rsidRPr="00651C46" w:rsidRDefault="006C078C" w:rsidP="006C078C">
      <w:pPr>
        <w:rPr>
          <w:rFonts w:ascii="Arial" w:hAnsi="Arial" w:cs="Arial"/>
          <w:b/>
          <w:color w:val="000066"/>
          <w:sz w:val="56"/>
          <w:szCs w:val="56"/>
        </w:rPr>
      </w:pPr>
      <w:r w:rsidRPr="00651C46">
        <w:rPr>
          <w:rFonts w:ascii="Arial" w:hAnsi="Arial" w:cs="Arial"/>
          <w:b/>
          <w:color w:val="000066"/>
          <w:sz w:val="56"/>
          <w:szCs w:val="56"/>
        </w:rPr>
        <w:t>EASA Aerodromes Transition</w:t>
      </w:r>
    </w:p>
    <w:p w:rsidR="006C078C" w:rsidRDefault="006C078C" w:rsidP="006C078C">
      <w:pPr>
        <w:spacing w:after="0"/>
        <w:rPr>
          <w:rFonts w:ascii="Arial" w:hAnsi="Arial" w:cs="Arial"/>
          <w:b/>
          <w:color w:val="000066"/>
          <w:sz w:val="44"/>
          <w:szCs w:val="44"/>
        </w:rPr>
      </w:pPr>
      <w:r>
        <w:rPr>
          <w:rFonts w:ascii="Arial" w:hAnsi="Arial" w:cs="Arial"/>
          <w:b/>
          <w:color w:val="000066"/>
          <w:sz w:val="44"/>
          <w:szCs w:val="44"/>
        </w:rPr>
        <w:t>Instructions</w:t>
      </w:r>
      <w:r w:rsidRPr="0066046C">
        <w:rPr>
          <w:rFonts w:ascii="Arial" w:hAnsi="Arial" w:cs="Arial"/>
          <w:b/>
          <w:color w:val="000066"/>
          <w:sz w:val="44"/>
          <w:szCs w:val="44"/>
        </w:rPr>
        <w:t xml:space="preserve"> </w:t>
      </w:r>
      <w:r>
        <w:rPr>
          <w:rFonts w:ascii="Arial" w:hAnsi="Arial" w:cs="Arial"/>
          <w:b/>
          <w:color w:val="000066"/>
          <w:sz w:val="44"/>
          <w:szCs w:val="44"/>
        </w:rPr>
        <w:t xml:space="preserve">for the completion of the </w:t>
      </w:r>
    </w:p>
    <w:p w:rsidR="006C078C" w:rsidRPr="00651C46" w:rsidRDefault="006C078C" w:rsidP="006C078C">
      <w:pPr>
        <w:spacing w:after="0"/>
        <w:rPr>
          <w:rFonts w:ascii="Arial" w:hAnsi="Arial" w:cs="Arial"/>
          <w:b/>
          <w:color w:val="000066"/>
          <w:sz w:val="44"/>
          <w:szCs w:val="44"/>
        </w:rPr>
      </w:pPr>
      <w:r w:rsidRPr="00651C46">
        <w:rPr>
          <w:rFonts w:ascii="Arial" w:hAnsi="Arial" w:cs="Arial"/>
          <w:b/>
          <w:color w:val="000066"/>
          <w:sz w:val="44"/>
          <w:szCs w:val="44"/>
        </w:rPr>
        <w:t>Operations Basis (OB)</w:t>
      </w:r>
    </w:p>
    <w:p w:rsidR="006C078C" w:rsidRDefault="006C078C" w:rsidP="00B61FBC">
      <w:pPr>
        <w:jc w:val="both"/>
      </w:pPr>
    </w:p>
    <w:p w:rsidR="006C078C" w:rsidRDefault="006C078C" w:rsidP="00B61FBC">
      <w:pPr>
        <w:jc w:val="both"/>
      </w:pPr>
    </w:p>
    <w:p w:rsidR="006C078C" w:rsidRPr="0099772B" w:rsidRDefault="006C078C" w:rsidP="006C078C">
      <w:pPr>
        <w:jc w:val="both"/>
        <w:rPr>
          <w:b/>
        </w:rPr>
      </w:pPr>
      <w:r>
        <w:rPr>
          <w:b/>
        </w:rPr>
        <w:t>Introduction</w:t>
      </w:r>
    </w:p>
    <w:p w:rsidR="00C57078" w:rsidRDefault="00451314" w:rsidP="00B61FBC">
      <w:pPr>
        <w:jc w:val="both"/>
      </w:pPr>
      <w:r>
        <w:t xml:space="preserve">Upon receipt of the </w:t>
      </w:r>
      <w:r w:rsidR="00122E23">
        <w:t>Operations</w:t>
      </w:r>
      <w:r>
        <w:t xml:space="preserve"> Basis</w:t>
      </w:r>
      <w:r w:rsidR="0084017E">
        <w:t xml:space="preserve"> (O</w:t>
      </w:r>
      <w:r w:rsidR="00A77149">
        <w:t>B)</w:t>
      </w:r>
      <w:r>
        <w:t xml:space="preserve"> </w:t>
      </w:r>
      <w:r w:rsidR="00454E00">
        <w:t>form</w:t>
      </w:r>
      <w:r w:rsidR="00B61FBC">
        <w:t xml:space="preserve"> from the CAA, the Aerodrome O</w:t>
      </w:r>
      <w:r>
        <w:t>perator</w:t>
      </w:r>
      <w:r w:rsidR="00B61FBC">
        <w:t xml:space="preserve"> (AO)</w:t>
      </w:r>
      <w:r>
        <w:t xml:space="preserve"> should complete the </w:t>
      </w:r>
      <w:r w:rsidR="00A77149">
        <w:t>document</w:t>
      </w:r>
      <w:r>
        <w:t xml:space="preserve"> in the manner described below.</w:t>
      </w:r>
      <w:r w:rsidR="00A77149">
        <w:t xml:space="preserve"> In</w:t>
      </w:r>
      <w:r w:rsidR="00A77149" w:rsidRPr="00A77149">
        <w:t xml:space="preserve"> </w:t>
      </w:r>
      <w:r w:rsidR="00122E23">
        <w:t>completing the O</w:t>
      </w:r>
      <w:r w:rsidR="00A77149">
        <w:t xml:space="preserve">B, you are describing the </w:t>
      </w:r>
      <w:r w:rsidR="00122E23">
        <w:t xml:space="preserve">management, operations and safety processes and procedures you have in place </w:t>
      </w:r>
      <w:r w:rsidR="00A77149">
        <w:t xml:space="preserve">at your aerodrome that allows you to </w:t>
      </w:r>
      <w:r w:rsidR="00B61FBC">
        <w:t xml:space="preserve">support </w:t>
      </w:r>
      <w:r w:rsidR="00A77149">
        <w:t>the</w:t>
      </w:r>
      <w:r w:rsidR="00122E23">
        <w:t xml:space="preserve"> management</w:t>
      </w:r>
      <w:r w:rsidR="00546EC2">
        <w:t>,</w:t>
      </w:r>
      <w:r w:rsidR="00122E23">
        <w:t xml:space="preserve"> including safety management</w:t>
      </w:r>
      <w:r w:rsidR="00546EC2">
        <w:t>,</w:t>
      </w:r>
      <w:r w:rsidR="00122E23">
        <w:t xml:space="preserve"> and </w:t>
      </w:r>
      <w:r w:rsidR="00A77149">
        <w:t xml:space="preserve">operation </w:t>
      </w:r>
      <w:r w:rsidR="00122E23">
        <w:t>of the aerodrome.</w:t>
      </w:r>
      <w:r w:rsidR="00B61FBC">
        <w:t xml:space="preserve"> </w:t>
      </w:r>
      <w:r w:rsidR="00122E23">
        <w:t xml:space="preserve"> </w:t>
      </w:r>
      <w:r w:rsidR="00B61FBC">
        <w:t>Secondly, you are demonstrating where you are meeting the relevant</w:t>
      </w:r>
      <w:r w:rsidR="00BD4D88">
        <w:t xml:space="preserve"> Acceptable Means of Compliance (AMC)</w:t>
      </w:r>
      <w:r w:rsidR="00B61FBC">
        <w:t xml:space="preserve"> and where not, are providing evidence of mitigation measures</w:t>
      </w:r>
      <w:r w:rsidR="00BD4D88">
        <w:t xml:space="preserve"> that may include the proposing of Alternative Means of Compliance (AltMoC)</w:t>
      </w:r>
      <w:r w:rsidR="00B61FBC">
        <w:t>.</w:t>
      </w:r>
    </w:p>
    <w:p w:rsidR="004B130B" w:rsidRDefault="004B130B" w:rsidP="00B61FBC">
      <w:pPr>
        <w:jc w:val="both"/>
      </w:pPr>
      <w:r>
        <w:t>The OB will support, and reference to, the material contained in the Aerodrome Manual.</w:t>
      </w:r>
    </w:p>
    <w:p w:rsidR="00A77149" w:rsidRDefault="00B61FBC" w:rsidP="00B61FBC">
      <w:pPr>
        <w:jc w:val="both"/>
      </w:pPr>
      <w:r>
        <w:t>Completion of t</w:t>
      </w:r>
      <w:r w:rsidR="00BD4D88">
        <w:t>he O</w:t>
      </w:r>
      <w:r w:rsidR="007924BD">
        <w:t xml:space="preserve">B is undertaken in </w:t>
      </w:r>
      <w:r w:rsidR="00BD4D88">
        <w:t>2</w:t>
      </w:r>
      <w:r>
        <w:t xml:space="preserve"> phases.</w:t>
      </w:r>
      <w:r w:rsidR="00454E00">
        <w:t xml:space="preserve">   </w:t>
      </w:r>
    </w:p>
    <w:p w:rsidR="006C078C" w:rsidRDefault="006C078C" w:rsidP="00B61FBC">
      <w:pPr>
        <w:jc w:val="both"/>
      </w:pPr>
    </w:p>
    <w:p w:rsidR="005921AD" w:rsidRPr="0099772B" w:rsidRDefault="005921AD" w:rsidP="00B61FBC">
      <w:pPr>
        <w:jc w:val="both"/>
        <w:rPr>
          <w:b/>
        </w:rPr>
      </w:pPr>
      <w:r w:rsidRPr="0099772B">
        <w:rPr>
          <w:b/>
        </w:rPr>
        <w:lastRenderedPageBreak/>
        <w:t>Phase 1</w:t>
      </w:r>
    </w:p>
    <w:p w:rsidR="005921AD" w:rsidRDefault="005921AD" w:rsidP="00B61FBC">
      <w:pPr>
        <w:jc w:val="both"/>
      </w:pPr>
      <w:r>
        <w:t xml:space="preserve">The completion of this section only requires the reader to understand the scope of the rules. </w:t>
      </w:r>
      <w:r w:rsidRPr="00B62942">
        <w:rPr>
          <w:u w:val="single"/>
        </w:rPr>
        <w:t>They do not need further work other than reading the rules and understanding their intent</w:t>
      </w:r>
      <w:r>
        <w:t>.</w:t>
      </w:r>
    </w:p>
    <w:p w:rsidR="005921AD" w:rsidRDefault="008C65A6" w:rsidP="00B61FBC">
      <w:pPr>
        <w:jc w:val="both"/>
      </w:pPr>
      <w:r>
        <w:rPr>
          <w:noProof/>
          <w:lang w:eastAsia="en-GB"/>
        </w:rPr>
        <w:drawing>
          <wp:inline distT="0" distB="0" distL="0" distR="0">
            <wp:extent cx="8879642" cy="2085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642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8C" w:rsidRDefault="006C078C" w:rsidP="00B61FBC">
      <w:pPr>
        <w:jc w:val="both"/>
        <w:rPr>
          <w:b/>
        </w:rPr>
      </w:pPr>
    </w:p>
    <w:p w:rsidR="006C078C" w:rsidRDefault="006C078C">
      <w:pPr>
        <w:rPr>
          <w:b/>
        </w:rPr>
      </w:pPr>
      <w:r>
        <w:rPr>
          <w:b/>
        </w:rPr>
        <w:br w:type="page"/>
      </w:r>
    </w:p>
    <w:p w:rsidR="00A77149" w:rsidRPr="0099772B" w:rsidRDefault="00A77149" w:rsidP="00B61FBC">
      <w:pPr>
        <w:jc w:val="both"/>
        <w:rPr>
          <w:b/>
        </w:rPr>
      </w:pPr>
      <w:r w:rsidRPr="0099772B">
        <w:rPr>
          <w:b/>
        </w:rPr>
        <w:lastRenderedPageBreak/>
        <w:t>P</w:t>
      </w:r>
      <w:r w:rsidR="00B61FBC" w:rsidRPr="0099772B">
        <w:rPr>
          <w:b/>
        </w:rPr>
        <w:t>hase</w:t>
      </w:r>
      <w:r w:rsidR="005921AD" w:rsidRPr="0099772B">
        <w:rPr>
          <w:b/>
        </w:rPr>
        <w:t xml:space="preserve"> 2</w:t>
      </w:r>
    </w:p>
    <w:p w:rsidR="00A77149" w:rsidRDefault="00E368F0" w:rsidP="00B61FBC">
      <w:pPr>
        <w:jc w:val="both"/>
      </w:pPr>
      <w:r>
        <w:t>Phase 2 is completed by filling in</w:t>
      </w:r>
      <w:r w:rsidR="00A77149">
        <w:t xml:space="preserve"> </w:t>
      </w:r>
      <w:r>
        <w:t>the individual sections of the O</w:t>
      </w:r>
      <w:r w:rsidR="00A77149">
        <w:t xml:space="preserve">B describing </w:t>
      </w:r>
      <w:r>
        <w:t>whether you have used the published EASA AMC or are proposing to use an Al</w:t>
      </w:r>
      <w:r w:rsidR="00F26179">
        <w:t>t</w:t>
      </w:r>
      <w:r>
        <w:t>MoC to meet the intent of the Implementing Rule (IR).</w:t>
      </w:r>
      <w:r w:rsidR="00A77149">
        <w:t xml:space="preserve">  The </w:t>
      </w:r>
      <w:r w:rsidR="00292D98">
        <w:t>supporting material for all the questions should be included in the Aerodrome Manual. Therefore, reference to that location is also included in the OB.</w:t>
      </w:r>
    </w:p>
    <w:p w:rsidR="00A9005B" w:rsidRDefault="00B62942" w:rsidP="00B61FBC">
      <w:pPr>
        <w:jc w:val="both"/>
      </w:pPr>
      <w:r>
        <w:rPr>
          <w:noProof/>
          <w:lang w:eastAsia="en-GB"/>
        </w:rPr>
        <w:drawing>
          <wp:inline distT="0" distB="0" distL="0" distR="0">
            <wp:extent cx="8877300" cy="45908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59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C9" w:rsidRDefault="00F26179" w:rsidP="00D967ED">
      <w:pPr>
        <w:spacing w:after="120"/>
        <w:jc w:val="both"/>
      </w:pPr>
      <w:r>
        <w:lastRenderedPageBreak/>
        <w:t xml:space="preserve">A free text box is added below each rule for additional information you may wish to include in your answer. An example of which may be to </w:t>
      </w:r>
      <w:r w:rsidR="00D967ED">
        <w:t>propose an</w:t>
      </w:r>
      <w:r>
        <w:t xml:space="preserve"> alternative means of compliance to the one published. </w:t>
      </w:r>
      <w:r w:rsidR="00E303AE">
        <w:t xml:space="preserve"> </w:t>
      </w:r>
    </w:p>
    <w:p w:rsidR="00F26179" w:rsidRDefault="00D52EC9" w:rsidP="00D967ED">
      <w:pPr>
        <w:spacing w:after="120"/>
        <w:jc w:val="both"/>
      </w:pPr>
      <w:r>
        <w:t>The completion of this phase fin</w:t>
      </w:r>
      <w:r w:rsidR="00C97C77">
        <w:t>alises</w:t>
      </w:r>
      <w:r w:rsidR="00F26179">
        <w:t xml:space="preserve"> the building of the O</w:t>
      </w:r>
      <w:r>
        <w:t xml:space="preserve">B and once the document is signed by the Accountable Manager, becomes the </w:t>
      </w:r>
      <w:r w:rsidR="00C97C77">
        <w:t>legally binding</w:t>
      </w:r>
      <w:r>
        <w:t xml:space="preserve"> record of the </w:t>
      </w:r>
      <w:r w:rsidR="00F26179">
        <w:t>management, including safety management, and operation of the aerodrome</w:t>
      </w:r>
      <w:r>
        <w:t xml:space="preserve">. </w:t>
      </w:r>
    </w:p>
    <w:p w:rsidR="00D52EC9" w:rsidRDefault="00D52EC9" w:rsidP="00B316C4">
      <w:pPr>
        <w:spacing w:after="0"/>
        <w:jc w:val="both"/>
      </w:pPr>
      <w:r>
        <w:t>As described in the rules, the</w:t>
      </w:r>
      <w:r w:rsidR="00F26179">
        <w:t xml:space="preserve"> O</w:t>
      </w:r>
      <w:r>
        <w:t>B must be reviewed</w:t>
      </w:r>
      <w:r w:rsidR="00B316C4">
        <w:t xml:space="preserve"> when</w:t>
      </w:r>
      <w:r>
        <w:t>:</w:t>
      </w:r>
    </w:p>
    <w:p w:rsidR="00D52EC9" w:rsidRPr="00D52EC9" w:rsidRDefault="00D52EC9" w:rsidP="00B316C4">
      <w:pPr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425"/>
        <w:jc w:val="both"/>
      </w:pPr>
      <w:r w:rsidRPr="00D52EC9">
        <w:t xml:space="preserve">operations change (e.g. new a/c) </w:t>
      </w:r>
    </w:p>
    <w:p w:rsidR="00D52EC9" w:rsidRPr="00D52EC9" w:rsidRDefault="00D52EC9" w:rsidP="00B316C4">
      <w:pPr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425"/>
        <w:jc w:val="both"/>
      </w:pPr>
      <w:r w:rsidRPr="00D52EC9">
        <w:t>the Agency’s</w:t>
      </w:r>
      <w:r w:rsidR="00F26179">
        <w:t xml:space="preserve"> regulation</w:t>
      </w:r>
      <w:r w:rsidRPr="00D52EC9">
        <w:t xml:space="preserve"> change</w:t>
      </w:r>
      <w:r w:rsidR="00F26179">
        <w:t>s</w:t>
      </w:r>
      <w:r w:rsidRPr="00D52EC9">
        <w:t xml:space="preserve">  (i.e. possibly containing new obligation) </w:t>
      </w:r>
    </w:p>
    <w:p w:rsidR="00D52EC9" w:rsidRPr="00D52EC9" w:rsidRDefault="00D52EC9" w:rsidP="00B316C4">
      <w:pPr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425"/>
        <w:jc w:val="both"/>
      </w:pPr>
      <w:r w:rsidRPr="00D52EC9">
        <w:t>incident</w:t>
      </w:r>
      <w:r w:rsidR="00B316C4">
        <w:t>s</w:t>
      </w:r>
      <w:r w:rsidRPr="00D52EC9">
        <w:t xml:space="preserve"> or accidents</w:t>
      </w:r>
      <w:r w:rsidR="00B316C4">
        <w:t xml:space="preserve"> occur</w:t>
      </w:r>
      <w:r w:rsidRPr="00D52EC9">
        <w:t xml:space="preserve"> </w:t>
      </w:r>
    </w:p>
    <w:p w:rsidR="00A9005B" w:rsidRDefault="00B316C4" w:rsidP="00B61FBC">
      <w:pPr>
        <w:numPr>
          <w:ilvl w:val="1"/>
          <w:numId w:val="1"/>
        </w:numPr>
        <w:tabs>
          <w:tab w:val="clear" w:pos="1440"/>
          <w:tab w:val="num" w:pos="851"/>
        </w:tabs>
        <w:spacing w:after="0"/>
        <w:ind w:left="851" w:hanging="425"/>
        <w:jc w:val="both"/>
      </w:pPr>
      <w:r>
        <w:t>when change are needed that a</w:t>
      </w:r>
      <w:r w:rsidR="00D52EC9" w:rsidRPr="00D52EC9">
        <w:t xml:space="preserve">re subject to the general change management principles of ADR.OR.B.040 </w:t>
      </w:r>
      <w:r w:rsidR="005834B9">
        <w:t xml:space="preserve"> </w:t>
      </w:r>
    </w:p>
    <w:sectPr w:rsidR="00A9005B" w:rsidSect="00B87C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215"/>
    <w:multiLevelType w:val="hybridMultilevel"/>
    <w:tmpl w:val="3E5CBB18"/>
    <w:lvl w:ilvl="0" w:tplc="333E5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61C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D07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A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4B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C26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BCD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DC9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4C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1314"/>
    <w:rsid w:val="00122E23"/>
    <w:rsid w:val="001515EE"/>
    <w:rsid w:val="00194F75"/>
    <w:rsid w:val="001C1800"/>
    <w:rsid w:val="001D0E56"/>
    <w:rsid w:val="00201866"/>
    <w:rsid w:val="00234075"/>
    <w:rsid w:val="00282EE3"/>
    <w:rsid w:val="00292D98"/>
    <w:rsid w:val="002D433E"/>
    <w:rsid w:val="002D5A71"/>
    <w:rsid w:val="00393945"/>
    <w:rsid w:val="00451314"/>
    <w:rsid w:val="00454E00"/>
    <w:rsid w:val="004B130B"/>
    <w:rsid w:val="00540FE8"/>
    <w:rsid w:val="00546EC2"/>
    <w:rsid w:val="005834B9"/>
    <w:rsid w:val="005877CC"/>
    <w:rsid w:val="00590D26"/>
    <w:rsid w:val="005921AD"/>
    <w:rsid w:val="005D4F0F"/>
    <w:rsid w:val="006143D7"/>
    <w:rsid w:val="006970FF"/>
    <w:rsid w:val="006C078C"/>
    <w:rsid w:val="007924BD"/>
    <w:rsid w:val="008227BF"/>
    <w:rsid w:val="008332EA"/>
    <w:rsid w:val="0084017E"/>
    <w:rsid w:val="00857814"/>
    <w:rsid w:val="0085789B"/>
    <w:rsid w:val="00874738"/>
    <w:rsid w:val="008C65A6"/>
    <w:rsid w:val="0099772B"/>
    <w:rsid w:val="009D2819"/>
    <w:rsid w:val="00A77149"/>
    <w:rsid w:val="00A9005B"/>
    <w:rsid w:val="00B316C4"/>
    <w:rsid w:val="00B61FBC"/>
    <w:rsid w:val="00B62942"/>
    <w:rsid w:val="00B65220"/>
    <w:rsid w:val="00B87CB5"/>
    <w:rsid w:val="00BD4D88"/>
    <w:rsid w:val="00C41D17"/>
    <w:rsid w:val="00C57078"/>
    <w:rsid w:val="00C95061"/>
    <w:rsid w:val="00C97C77"/>
    <w:rsid w:val="00CA1EA1"/>
    <w:rsid w:val="00CC21B9"/>
    <w:rsid w:val="00D07684"/>
    <w:rsid w:val="00D52EC9"/>
    <w:rsid w:val="00D967ED"/>
    <w:rsid w:val="00DF444D"/>
    <w:rsid w:val="00DF631D"/>
    <w:rsid w:val="00E27611"/>
    <w:rsid w:val="00E303AE"/>
    <w:rsid w:val="00E368F0"/>
    <w:rsid w:val="00EC64B4"/>
    <w:rsid w:val="00F136F5"/>
    <w:rsid w:val="00F26179"/>
    <w:rsid w:val="00FB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448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32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268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817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560">
          <w:marLeft w:val="11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tony.heap</cp:lastModifiedBy>
  <cp:revision>2</cp:revision>
  <dcterms:created xsi:type="dcterms:W3CDTF">2014-02-20T16:18:00Z</dcterms:created>
  <dcterms:modified xsi:type="dcterms:W3CDTF">2014-02-20T16:18:00Z</dcterms:modified>
</cp:coreProperties>
</file>